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Mörbylånga kommunfullmäktige</w:t>
      </w:r>
    </w:p>
    <w:p>
      <w:pPr>
        <w:pStyle w:val="Heading1"/>
      </w:pPr>
      <w:r>
        <w:t xml:space="preserve">Fler hyresrätter för unga och inflyttare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Mörbylånga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Mörbylånga har akut bostadsbrist som drabbar unga och säsongsarbetare inom besöksnäringen. Enligt kommunens bostadsförsörjningsprogram 2023 saknas cirka 120 hyresrätter. Detta hämmar inflyttning och tillväxt (SCB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Mörbylånga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ta fram en plan för minst 80 nya hyresrätter fram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särskilt prioriterar centrala lägen i Mörbylånga tätort och Färjestaden.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finansiering utreds via kommunal borgen och statliga investeringsstöd.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redovisas i budgetprocessen.</w:t>
      </w:r>
    </w:p>
    <w:p>
      <w:pPr>
        <w:spacing w:before="360"/>
      </w:pPr>
    </w:p>
    <w:p>
      <w:r>
        <w:t xml:space="preserve">Mörbylånga,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Mörbylånga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2026-07-14T00:55:04.622Z</dcterms:created>
  <dcterms:modified xsi:type="dcterms:W3CDTF">2026-07-14T00:55:04.622Z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